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ind w:firstLine="720"/>
        <w:jc w:val="center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Раскрытие информации </w:t>
      </w:r>
      <w:r>
        <w:rPr>
          <w:rFonts w:ascii="Times New Roman" w:hAnsi="Times New Roman"/>
          <w:b/>
          <w:sz w:val="26"/>
          <w:szCs w:val="26"/>
        </w:rPr>
        <w:t xml:space="preserve">по производству электроэнергии (мощности) </w:t>
      </w:r>
      <w:r>
        <w:rPr>
          <w:rFonts w:ascii="Times New Roman" w:hAnsi="Times New Roman"/>
          <w:b/>
          <w:sz w:val="26"/>
          <w:szCs w:val="26"/>
        </w:rPr>
        <w:t xml:space="preserve">Архангельским </w:t>
      </w:r>
      <w:r>
        <w:rPr>
          <w:rFonts w:ascii="Times New Roman" w:hAnsi="Times New Roman"/>
          <w:b/>
          <w:sz w:val="26"/>
          <w:szCs w:val="26"/>
        </w:rPr>
        <w:t xml:space="preserve">ф</w:t>
      </w:r>
      <w:r>
        <w:rPr>
          <w:rFonts w:ascii="Times New Roman" w:hAnsi="Times New Roman"/>
          <w:b/>
          <w:sz w:val="26"/>
          <w:szCs w:val="26"/>
        </w:rPr>
        <w:t xml:space="preserve">илиалом </w:t>
      </w:r>
      <w:r>
        <w:rPr>
          <w:rFonts w:ascii="Times New Roman" w:hAnsi="Times New Roman"/>
          <w:b/>
          <w:sz w:val="26"/>
          <w:szCs w:val="26"/>
        </w:rPr>
        <w:t xml:space="preserve">П</w:t>
      </w:r>
      <w:r>
        <w:rPr>
          <w:rFonts w:ascii="Times New Roman" w:hAnsi="Times New Roman"/>
          <w:b/>
          <w:sz w:val="26"/>
          <w:szCs w:val="26"/>
        </w:rPr>
        <w:t xml:space="preserve">АО «</w:t>
      </w:r>
      <w:r>
        <w:rPr>
          <w:rFonts w:ascii="Times New Roman" w:hAnsi="Times New Roman"/>
          <w:b/>
          <w:sz w:val="26"/>
          <w:szCs w:val="26"/>
        </w:rPr>
        <w:t xml:space="preserve">Россети</w:t>
      </w:r>
      <w:r>
        <w:rPr>
          <w:rFonts w:ascii="Times New Roman" w:hAnsi="Times New Roman"/>
          <w:b/>
          <w:sz w:val="26"/>
          <w:szCs w:val="26"/>
        </w:rPr>
        <w:t xml:space="preserve"> С</w:t>
      </w:r>
      <w:r>
        <w:rPr>
          <w:rFonts w:ascii="Times New Roman" w:hAnsi="Times New Roman"/>
          <w:b/>
          <w:sz w:val="26"/>
          <w:szCs w:val="26"/>
        </w:rPr>
        <w:t xml:space="preserve">е</w:t>
      </w:r>
      <w:r>
        <w:rPr>
          <w:rFonts w:ascii="Times New Roman" w:hAnsi="Times New Roman"/>
          <w:b/>
          <w:sz w:val="26"/>
          <w:szCs w:val="26"/>
        </w:rPr>
        <w:t xml:space="preserve">веро-Запад» </w:t>
      </w:r>
      <w:r>
        <w:rPr>
          <w:rFonts w:ascii="Times New Roman" w:hAnsi="Times New Roman"/>
          <w:b/>
          <w:sz w:val="26"/>
          <w:szCs w:val="26"/>
        </w:rPr>
        <w:t xml:space="preserve">на 202</w:t>
      </w:r>
      <w:r>
        <w:rPr>
          <w:rFonts w:ascii="Times New Roman" w:hAnsi="Times New Roman"/>
          <w:b/>
          <w:sz w:val="26"/>
          <w:szCs w:val="26"/>
        </w:rPr>
        <w:t xml:space="preserve">5 год </w:t>
      </w:r>
      <w:r>
        <w:rPr>
          <w:rFonts w:ascii="Times New Roman" w:hAnsi="Times New Roman"/>
          <w:b/>
          <w:sz w:val="26"/>
          <w:szCs w:val="26"/>
        </w:rPr>
        <w:t xml:space="preserve">в</w:t>
      </w:r>
      <w:r>
        <w:rPr>
          <w:rFonts w:ascii="Times New Roman" w:hAnsi="Times New Roman"/>
          <w:b/>
          <w:sz w:val="26"/>
          <w:szCs w:val="26"/>
        </w:rPr>
        <w:t xml:space="preserve"> соответствии со Стандартом раскрытия информации </w:t>
      </w:r>
      <w:r>
        <w:rPr>
          <w:rFonts w:ascii="Times New Roman" w:hAnsi="Times New Roman"/>
          <w:b/>
          <w:sz w:val="26"/>
          <w:szCs w:val="26"/>
        </w:rPr>
        <w:t xml:space="preserve">субъектами оптового и розничных рынков электрической энергии</w:t>
      </w:r>
      <w:r>
        <w:rPr>
          <w:rFonts w:ascii="Times New Roman" w:hAnsi="Times New Roman"/>
          <w:b/>
          <w:sz w:val="26"/>
          <w:szCs w:val="26"/>
        </w:rPr>
        <w:t xml:space="preserve">, утвержденным пост</w:t>
      </w:r>
      <w:r>
        <w:rPr>
          <w:rFonts w:ascii="Times New Roman" w:hAnsi="Times New Roman"/>
          <w:b/>
          <w:sz w:val="26"/>
          <w:szCs w:val="26"/>
        </w:rPr>
        <w:t xml:space="preserve">ановлением Правительства РФ от </w:t>
      </w:r>
      <w:r>
        <w:rPr>
          <w:rFonts w:ascii="Times New Roman" w:hAnsi="Times New Roman"/>
          <w:b/>
          <w:sz w:val="26"/>
          <w:szCs w:val="26"/>
        </w:rPr>
        <w:t xml:space="preserve">21</w:t>
      </w:r>
      <w:r>
        <w:rPr>
          <w:rFonts w:ascii="Times New Roman" w:hAnsi="Times New Roman"/>
          <w:b/>
          <w:sz w:val="26"/>
          <w:szCs w:val="26"/>
        </w:rPr>
        <w:t xml:space="preserve">.</w:t>
      </w:r>
      <w:r>
        <w:rPr>
          <w:rFonts w:ascii="Times New Roman" w:hAnsi="Times New Roman"/>
          <w:b/>
          <w:sz w:val="26"/>
          <w:szCs w:val="26"/>
        </w:rPr>
        <w:t xml:space="preserve">0</w:t>
      </w:r>
      <w:r>
        <w:rPr>
          <w:rFonts w:ascii="Times New Roman" w:hAnsi="Times New Roman"/>
          <w:b/>
          <w:sz w:val="26"/>
          <w:szCs w:val="26"/>
        </w:rPr>
        <w:t xml:space="preserve">1</w:t>
      </w:r>
      <w:r>
        <w:rPr>
          <w:rFonts w:ascii="Times New Roman" w:hAnsi="Times New Roman"/>
          <w:b/>
          <w:sz w:val="26"/>
          <w:szCs w:val="26"/>
        </w:rPr>
        <w:t xml:space="preserve">.20</w:t>
      </w:r>
      <w:r>
        <w:rPr>
          <w:rFonts w:ascii="Times New Roman" w:hAnsi="Times New Roman"/>
          <w:b/>
          <w:sz w:val="26"/>
          <w:szCs w:val="26"/>
        </w:rPr>
        <w:t xml:space="preserve">04</w:t>
      </w:r>
      <w:r>
        <w:rPr>
          <w:rFonts w:ascii="Times New Roman" w:hAnsi="Times New Roman"/>
          <w:b/>
          <w:sz w:val="26"/>
          <w:szCs w:val="26"/>
        </w:rPr>
        <w:t xml:space="preserve"> № </w:t>
      </w:r>
      <w:r>
        <w:rPr>
          <w:rFonts w:ascii="Times New Roman" w:hAnsi="Times New Roman"/>
          <w:b/>
          <w:sz w:val="26"/>
          <w:szCs w:val="26"/>
        </w:rPr>
        <w:t xml:space="preserve">24</w:t>
      </w:r>
      <w:r>
        <w:rPr>
          <w:rFonts w:ascii="Times New Roman" w:hAnsi="Times New Roman"/>
          <w:b/>
          <w:sz w:val="26"/>
          <w:szCs w:val="26"/>
        </w:rPr>
        <w:t xml:space="preserve">.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sz w:val="26"/>
          <w:szCs w:val="26"/>
          <w:highlight w:val="none"/>
        </w:rPr>
      </w:r>
    </w:p>
    <w:p>
      <w:pPr>
        <w:pStyle w:val="634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в соответствии с 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ind w:left="709"/>
        <w:jc w:val="both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1"/>
          <w:numId w:val="2"/>
        </w:numPr>
        <w:jc w:val="both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п.п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Информация</w:t>
      </w:r>
      <w:r>
        <w:rPr>
          <w:rFonts w:ascii="Times New Roman" w:hAnsi="Times New Roman"/>
          <w:sz w:val="24"/>
          <w:szCs w:val="24"/>
        </w:rPr>
        <w:t xml:space="preserve"> о тарифах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органа регулирования, принявшего решение об утверждении тарифа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энергию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отпускаемую от Мезенской ДЭС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Агентство по тарифам и ценам Архангельской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(дата, номер) решения об утверждении тарифа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электроэнергию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65-э/10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действия установленного тарифа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электроэнергию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01.01.202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по 31.12.202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официального опубликования решения об установлении тарифа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электроэнергию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34"/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"http://publication.pravo.gov.ru/Search"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 xml:space="preserve">http</w:t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://</w:t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 xml:space="preserve">publication</w:t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.</w:t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 xml:space="preserve">pravo</w:t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.</w:t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 xml:space="preserve">gov</w:t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.</w:t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/</w:t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 xml:space="preserve">Search</w:t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fldChar w:fldCharType="end"/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  <w:r>
              <w:rPr>
                <w:rStyle w:val="643"/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Величина установленного тарифа на </w:t>
      </w:r>
      <w:r>
        <w:rPr>
          <w:rFonts w:ascii="Times New Roman" w:hAnsi="Times New Roman"/>
          <w:sz w:val="24"/>
          <w:szCs w:val="24"/>
          <w:lang w:eastAsia="ru-RU"/>
        </w:rPr>
        <w:t xml:space="preserve">электроэнергию:</w:t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634"/>
        <w:ind w:firstLine="709"/>
        <w:jc w:val="both"/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pPr w:horzAnchor="margin" w:tblpXSpec="center" w:vertAnchor="text" w:tblpY="-1" w:leftFromText="180" w:topFromText="0" w:rightFromText="180" w:bottomFromText="0"/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4"/>
        <w:gridCol w:w="2675"/>
        <w:gridCol w:w="1984"/>
        <w:gridCol w:w="2126"/>
        <w:gridCol w:w="2127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94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</w:t>
              <w:br w:type="textWrapping" w:clear="all"/>
              <w:t xml:space="preserve">п/п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75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(тариф)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полугодие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(тариф)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полугодие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center"/>
            <w:textDirection w:val="lrTb"/>
            <w:noWrap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Одноставочный тариф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руб./кВт·ч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36,89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framePr w:hSpace="180" w:wrap="around" w:vAnchor="text" w:hAnchor="margin" w:xAlign="center" w:y="-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40,91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1080" w:firstLine="0"/>
        <w:jc w:val="both"/>
        <w:tabs>
          <w:tab w:val="left" w:pos="851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34"/>
        <w:numPr>
          <w:ilvl w:val="1"/>
          <w:numId w:val="2"/>
        </w:numPr>
        <w:jc w:val="both"/>
        <w:tabs>
          <w:tab w:val="left" w:pos="851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п.п б) информация о выбросах заг</w:t>
      </w:r>
      <w:r>
        <w:rPr>
          <w:rFonts w:ascii="Times New Roman" w:hAnsi="Times New Roman"/>
          <w:sz w:val="24"/>
          <w:szCs w:val="24"/>
        </w:rPr>
        <w:t xml:space="preserve">рязняющих веществ: В НВВ на 202</w:t>
      </w:r>
      <w:r>
        <w:rPr>
          <w:rFonts w:ascii="Times New Roman" w:hAnsi="Times New Roman"/>
          <w:sz w:val="24"/>
          <w:szCs w:val="24"/>
        </w:rPr>
        <w:t xml:space="preserve">5 год включ</w:t>
      </w:r>
      <w:r>
        <w:rPr>
          <w:rFonts w:ascii="Times New Roman" w:hAnsi="Times New Roman"/>
          <w:sz w:val="24"/>
          <w:szCs w:val="24"/>
        </w:rPr>
        <w:t xml:space="preserve">ена</w:t>
      </w:r>
      <w:r>
        <w:rPr>
          <w:rFonts w:ascii="Times New Roman" w:hAnsi="Times New Roman"/>
          <w:sz w:val="24"/>
          <w:szCs w:val="24"/>
        </w:rPr>
        <w:t xml:space="preserve"> плата за выбросы в объеме 1,</w:t>
      </w:r>
      <w:r>
        <w:rPr>
          <w:rFonts w:ascii="Times New Roman" w:hAnsi="Times New Roman"/>
          <w:sz w:val="24"/>
          <w:szCs w:val="24"/>
        </w:rPr>
        <w:t xml:space="preserve">8 тыс. руб.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ind w:firstLine="709"/>
        <w:jc w:val="both"/>
        <w:tabs>
          <w:tab w:val="left" w:pos="851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contextualSpacing w:val="0"/>
        <w:ind w:firstLine="709"/>
        <w:jc w:val="both"/>
        <w:spacing w:before="0"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1.3.  п.п. в) инф</w:t>
      </w:r>
      <w:r>
        <w:rPr>
          <w:rFonts w:ascii="Times New Roman" w:hAnsi="Times New Roman"/>
          <w:sz w:val="24"/>
          <w:szCs w:val="24"/>
        </w:rPr>
        <w:t xml:space="preserve">ормация об и</w:t>
      </w:r>
      <w:r>
        <w:rPr>
          <w:rFonts w:ascii="Times New Roman" w:hAnsi="Times New Roman"/>
          <w:sz w:val="24"/>
          <w:szCs w:val="24"/>
        </w:rPr>
        <w:t xml:space="preserve">нвестиционных программах на 202</w:t>
      </w:r>
      <w:r>
        <w:rPr>
          <w:rFonts w:ascii="Times New Roman" w:hAnsi="Times New Roman"/>
          <w:sz w:val="24"/>
          <w:szCs w:val="24"/>
        </w:rPr>
        <w:t xml:space="preserve">5 год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contextualSpacing w:val="0"/>
        <w:ind w:firstLine="709"/>
        <w:jc w:val="both"/>
        <w:spacing w:before="0"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 в НВВ включен объем амортизац</w:t>
      </w:r>
      <w:r>
        <w:rPr>
          <w:rFonts w:ascii="Times New Roman" w:hAnsi="Times New Roman"/>
          <w:sz w:val="24"/>
          <w:szCs w:val="24"/>
        </w:rPr>
        <w:t xml:space="preserve">ионных отчислений в </w:t>
      </w:r>
      <w:r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  <w:lang w:eastAsia="ru-RU"/>
        </w:rPr>
        <w:t xml:space="preserve">8 773,0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</w:t>
      </w:r>
      <w:r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 w:val="0"/>
        <w:ind w:firstLine="709"/>
        <w:jc w:val="both"/>
        <w:tabs>
          <w:tab w:val="left" w:pos="851" w:leader="none"/>
          <w:tab w:val="left" w:pos="993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10349" w:type="dxa"/>
        <w:tblInd w:w="-1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276"/>
        <w:gridCol w:w="1417"/>
        <w:gridCol w:w="2127"/>
        <w:gridCol w:w="1701"/>
        <w:gridCol w:w="1134"/>
      </w:tblGrid>
      <w:tr>
        <w:tblPrEx/>
        <w:trPr>
          <w:trHeight w:val="6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инвестиционной программы, сроки начала и окончания реализации инвестиционной программы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утверждения инвестиционной программы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 инвестиционной программы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исполнительной власти, утвердившего инвестиционную программу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об использовании инвестиционных средств за отчетный год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270" w:hRule="exact"/>
        </w:trPr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numPr>
                <w:ilvl w:val="1"/>
                <w:numId w:val="2"/>
              </w:numPr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numPr>
                <w:ilvl w:val="1"/>
                <w:numId w:val="2"/>
              </w:numPr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numPr>
                <w:ilvl w:val="1"/>
                <w:numId w:val="2"/>
              </w:numPr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numPr>
                <w:ilvl w:val="1"/>
                <w:numId w:val="2"/>
              </w:numPr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использовании инвестиционных средств за отчетный год (тыс. руб.)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 финансирования инвестиционной программы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22" w:hRule="exact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инвестиционная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ПАО «Россети Северо-Запад» на 2024 – 2028 годы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утверждена в соответствии с прика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зом Минэнерго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19@ от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надежное и бесперебойное энергоснабжение региона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Минэнерго РФ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634"/>
        <w:ind w:firstLine="709"/>
        <w:jc w:val="both"/>
        <w:tabs>
          <w:tab w:val="left" w:pos="851" w:leader="none"/>
          <w:tab w:val="left" w:pos="993" w:leader="none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п.п. г) </w:t>
      </w:r>
      <w:r>
        <w:rPr>
          <w:rFonts w:ascii="Times New Roman" w:hAnsi="Times New Roman"/>
          <w:sz w:val="24"/>
          <w:szCs w:val="24"/>
        </w:rPr>
        <w:t xml:space="preserve">информация</w:t>
      </w:r>
      <w:r>
        <w:rPr>
          <w:rFonts w:ascii="Times New Roman" w:hAnsi="Times New Roman"/>
          <w:sz w:val="24"/>
          <w:szCs w:val="24"/>
        </w:rPr>
        <w:t xml:space="preserve"> о расходах электроэнергии на собствен</w:t>
      </w:r>
      <w:r>
        <w:rPr>
          <w:rFonts w:ascii="Times New Roman" w:hAnsi="Times New Roman"/>
          <w:sz w:val="24"/>
          <w:szCs w:val="24"/>
        </w:rPr>
        <w:t xml:space="preserve">ные и хозяйственные нужды в 202</w:t>
      </w:r>
      <w:r>
        <w:rPr>
          <w:rFonts w:ascii="Times New Roman" w:hAnsi="Times New Roman"/>
          <w:sz w:val="24"/>
          <w:szCs w:val="24"/>
        </w:rPr>
        <w:t xml:space="preserve">5 году: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080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8"/>
        <w:gridCol w:w="1704"/>
        <w:gridCol w:w="1779"/>
        <w:gridCol w:w="1526"/>
        <w:gridCol w:w="1818"/>
        <w:gridCol w:w="2515"/>
      </w:tblGrid>
      <w:tr>
        <w:tblPrEx/>
        <w:trPr>
          <w:trHeight w:val="33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 п/п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Наименование, реквизиты, тип электростанции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 электроэнергии (единица измерения - тыс. кВтч)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собственные нужды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хозяйственные нужды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выработку электрической энергии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выработку тепловой энергии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1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1" w:hRule="exact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38" w:hRule="exact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Дизельная электростанция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  <w:t xml:space="preserve">87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1" w:hRule="exact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всего: 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  <w:t xml:space="preserve">87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всего: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всего: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п.п. д) информаци</w:t>
      </w:r>
      <w:r>
        <w:rPr>
          <w:rFonts w:ascii="Times New Roman" w:hAnsi="Times New Roman"/>
          <w:sz w:val="24"/>
          <w:szCs w:val="24"/>
        </w:rPr>
        <w:t xml:space="preserve">я об используемом топливе в 202</w:t>
      </w:r>
      <w:r>
        <w:rPr>
          <w:rFonts w:ascii="Times New Roman" w:hAnsi="Times New Roman"/>
          <w:sz w:val="24"/>
          <w:szCs w:val="24"/>
        </w:rPr>
        <w:t xml:space="preserve">5 году: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080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851"/>
        <w:gridCol w:w="1276"/>
        <w:gridCol w:w="1701"/>
        <w:gridCol w:w="1134"/>
        <w:gridCol w:w="1559"/>
        <w:gridCol w:w="1276"/>
      </w:tblGrid>
      <w:tr>
        <w:tblPrEx/>
        <w:trPr>
          <w:trHeight w:val="1814" w:hRule="exac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электростанции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используемого топлива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Удельный расход условного топлива, гут/кВтч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топлива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расход топлива электростанции, тонн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поставщике топлива (наименование, место нахождения)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топливо тыс. руб.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7" w:hRule="exact"/>
        </w:trPr>
        <w:tc>
          <w:tcPr>
            <w:tcBorders>
              <w:top w:val="none" w:color="FFFFFF" w:sz="255" w:space="0"/>
              <w:left w:val="single" w:color="000000" w:sz="8" w:space="0"/>
              <w:bottom w:val="none" w:color="FFFFFF" w:sz="255" w:space="0"/>
              <w:right w:val="single" w:color="000000" w:sz="8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4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Дизельная электростанция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Дизельное топливо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352,07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Дизельное топливо ЕВРО, зимнее, класс 2, экологический класс К5 (ДТ-З-К5);  ГОСТ Р 52368-2005 (ЕН 590:2009) с изменением № 1,2 (ГОСТ 32511-2013 (EN590:2009)) с изменением № 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3 713,99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401 387,7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0"/>
          <w:numId w:val="2"/>
        </w:numPr>
        <w:jc w:val="both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>
        <w:rPr>
          <w:rFonts w:ascii="Times New Roman" w:hAnsi="Times New Roman"/>
          <w:sz w:val="24"/>
          <w:szCs w:val="24"/>
        </w:rPr>
        <w:t xml:space="preserve">по генерирующему объекту </w:t>
      </w:r>
      <w:r>
        <w:rPr>
          <w:rFonts w:ascii="Times New Roman" w:hAnsi="Times New Roman"/>
          <w:sz w:val="24"/>
          <w:szCs w:val="24"/>
        </w:rPr>
        <w:t xml:space="preserve">в соответствии с п</w:t>
      </w:r>
      <w:r>
        <w:rPr>
          <w:rFonts w:ascii="Times New Roman" w:hAnsi="Times New Roman"/>
          <w:sz w:val="24"/>
          <w:szCs w:val="24"/>
        </w:rPr>
        <w:t xml:space="preserve">. 37</w:t>
      </w:r>
      <w:r>
        <w:rPr>
          <w:rFonts w:ascii="Times New Roman" w:hAnsi="Times New Roman"/>
          <w:sz w:val="24"/>
          <w:szCs w:val="24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8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88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202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88" w:type="dxa"/>
            <w:vAlign w:val="center"/>
            <w:textDirection w:val="lrTb"/>
            <w:noWrap w:val="false"/>
          </w:tcPr>
          <w:p>
            <w:pPr>
              <w:pStyle w:val="634"/>
              <w:jc w:val="both"/>
              <w:tabs>
                <w:tab w:val="left" w:pos="851" w:leader="none"/>
                <w:tab w:val="left" w:pos="1418" w:leader="none"/>
              </w:tabs>
              <w:rPr>
                <w:rFonts w:ascii="Times New Roman" w:hAnsi="Times New Roman"/>
                <w:i/>
              </w:rPr>
            </w:pPr>
            <w:r>
              <w:rPr>
                <w:rStyle w:val="647"/>
                <w:rFonts w:ascii="Times New Roman" w:hAnsi="Times New Roman"/>
                <w:i w:val="0"/>
                <w:color w:val="000000"/>
              </w:rPr>
              <w:t xml:space="preserve">Установленная мощность генерирующего оборудования, МВт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7,4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88" w:type="dxa"/>
            <w:vAlign w:val="center"/>
            <w:textDirection w:val="lrTb"/>
            <w:noWrap w:val="false"/>
          </w:tcPr>
          <w:p>
            <w:pPr>
              <w:pStyle w:val="634"/>
              <w:jc w:val="both"/>
              <w:tabs>
                <w:tab w:val="left" w:pos="851" w:leader="none"/>
                <w:tab w:val="left" w:pos="1418" w:leader="none"/>
              </w:tabs>
              <w:rPr>
                <w:rFonts w:ascii="Times New Roman" w:hAnsi="Times New Roman"/>
                <w:i/>
              </w:rPr>
            </w:pPr>
            <w:r>
              <w:rPr>
                <w:rStyle w:val="647"/>
                <w:rFonts w:ascii="Times New Roman" w:hAnsi="Times New Roman"/>
                <w:i w:val="0"/>
                <w:color w:val="000000"/>
              </w:rPr>
              <w:t xml:space="preserve">Объем производства электрической энергии, млн.кВтч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16,</w:t>
            </w:r>
            <w:r>
              <w:rPr>
                <w:rFonts w:ascii="Times New Roman" w:hAnsi="Times New Roman"/>
              </w:rPr>
              <w:t xml:space="preserve">183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/>
        </w:trPr>
        <w:tc>
          <w:tcPr>
            <w:tcW w:w="8188" w:type="dxa"/>
            <w:vAlign w:val="center"/>
            <w:textDirection w:val="lrTb"/>
            <w:noWrap w:val="false"/>
          </w:tcPr>
          <w:p>
            <w:pPr>
              <w:pStyle w:val="634"/>
              <w:jc w:val="both"/>
              <w:tabs>
                <w:tab w:val="left" w:pos="851" w:leader="none"/>
                <w:tab w:val="left" w:pos="1418" w:leader="none"/>
              </w:tabs>
              <w:rPr>
                <w:rFonts w:ascii="Times New Roman" w:hAnsi="Times New Roman"/>
                <w:i/>
              </w:rPr>
            </w:pPr>
            <w:r>
              <w:rPr>
                <w:rStyle w:val="647"/>
                <w:rFonts w:ascii="Times New Roman" w:hAnsi="Times New Roman"/>
                <w:i w:val="0"/>
                <w:color w:val="000000"/>
              </w:rPr>
              <w:t xml:space="preserve">Удельный расход условного топлива на выработку 1 кВт·ч электрической энергии, </w:t>
            </w:r>
            <w:r>
              <w:rPr>
                <w:rFonts w:ascii="Times New Roman" w:hAnsi="Times New Roman"/>
              </w:rPr>
              <w:t xml:space="preserve">гут/кВтч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141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35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07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6"/>
        </w:trPr>
        <w:tc>
          <w:tcPr>
            <w:tcW w:w="8188" w:type="dxa"/>
            <w:vAlign w:val="center"/>
            <w:textDirection w:val="lrTb"/>
            <w:noWrap w:val="false"/>
          </w:tcPr>
          <w:p>
            <w:pPr>
              <w:pStyle w:val="634"/>
              <w:jc w:val="both"/>
              <w:tabs>
                <w:tab w:val="left" w:pos="851" w:leader="none"/>
                <w:tab w:val="left" w:pos="1418" w:leader="none"/>
              </w:tabs>
              <w:rPr>
                <w:rFonts w:ascii="Times New Roman" w:hAnsi="Times New Roman"/>
                <w:i/>
              </w:rPr>
            </w:pPr>
            <w:r>
              <w:rPr>
                <w:rStyle w:val="647"/>
                <w:rFonts w:ascii="Times New Roman" w:hAnsi="Times New Roman"/>
                <w:i w:val="0"/>
                <w:color w:val="000000"/>
              </w:rPr>
              <w:t xml:space="preserve">Фактические расходы на производство 1 кВт·ч электрической энергии, руб./кВтч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ind w:firstLine="709"/>
        <w:jc w:val="both"/>
        <w:tabs>
          <w:tab w:val="left" w:pos="851" w:leader="none"/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п.40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Информация</w:t>
      </w:r>
      <w:r>
        <w:rPr>
          <w:rFonts w:ascii="Times New Roman" w:hAnsi="Times New Roman"/>
          <w:sz w:val="24"/>
          <w:szCs w:val="24"/>
        </w:rPr>
        <w:t xml:space="preserve"> об объеме продажи элек</w:t>
      </w:r>
      <w:r>
        <w:rPr>
          <w:rFonts w:ascii="Times New Roman" w:hAnsi="Times New Roman"/>
          <w:sz w:val="24"/>
          <w:szCs w:val="24"/>
        </w:rPr>
        <w:t xml:space="preserve">троэнергии и мощности ГП </w:t>
      </w:r>
      <w:r>
        <w:rPr>
          <w:rFonts w:ascii="Times New Roman" w:hAnsi="Times New Roman"/>
          <w:sz w:val="24"/>
          <w:szCs w:val="24"/>
        </w:rPr>
        <w:t xml:space="preserve">на 2025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938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67"/>
        <w:gridCol w:w="3969"/>
        <w:gridCol w:w="3402"/>
      </w:tblGrid>
      <w:tr>
        <w:tblPrEx/>
        <w:trPr>
          <w:trHeight w:val="6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6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продажи электрической энергии гарантирующему поставщику, млн.кВтч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Величина мощности, соответствующая продаже электрической энергии гарантирующему поставщику, МВт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92" w:hRule="exac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6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15,</w:t>
            </w:r>
            <w:r>
              <w:rPr>
                <w:rFonts w:ascii="Times New Roman" w:hAnsi="Times New Roman"/>
              </w:rPr>
              <w:t xml:space="preserve">296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7,4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firstLine="709"/>
        <w:jc w:val="both"/>
        <w:tabs>
          <w:tab w:val="left" w:pos="993" w:leader="none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34"/>
        <w:ind w:firstLine="709"/>
        <w:jc w:val="both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 Информация в соответствии с п.п </w:t>
      </w:r>
      <w:r>
        <w:rPr>
          <w:rFonts w:ascii="Times New Roman" w:hAnsi="Times New Roman"/>
          <w:sz w:val="24"/>
          <w:szCs w:val="24"/>
        </w:rPr>
        <w:t xml:space="preserve">б) п. </w:t>
      </w:r>
      <w:r>
        <w:rPr>
          <w:rFonts w:ascii="Times New Roman" w:hAnsi="Times New Roman"/>
          <w:sz w:val="24"/>
          <w:szCs w:val="24"/>
        </w:rPr>
        <w:t xml:space="preserve">12</w:t>
      </w:r>
      <w:r>
        <w:rPr>
          <w:rFonts w:ascii="Times New Roman" w:hAnsi="Times New Roman"/>
          <w:sz w:val="24"/>
          <w:szCs w:val="24"/>
        </w:rPr>
        <w:t xml:space="preserve">.  Структура</w:t>
      </w:r>
      <w:r>
        <w:rPr>
          <w:rFonts w:ascii="Times New Roman" w:hAnsi="Times New Roman"/>
          <w:sz w:val="24"/>
          <w:szCs w:val="24"/>
        </w:rPr>
        <w:t xml:space="preserve"> и объем затрат на производство и реализацию товаров (работ, услуг):</w:t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97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2025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Выручк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от регулируемой деятельности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593 206,6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Себестоимость производимых товаров (оказываемых услуг)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управленческие расходы (тыс.руб.)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513 888,7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расходы на дизельное топливо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(тыс.руб.)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401 387,7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риобретения дизельного топлива (тыс.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3,71399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невзвешенная стоимость 1 тонны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руб./т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108 074,6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расходы на оплату труда и отчисления на социальные нужды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(тыс.руб.)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67 279,9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расходы на амортизацию основных производственных средств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(тыс.руб.)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8 773,0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прочие расходы (тыс.руб.)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36 448,1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Чистая прибыль (тыс. 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70 877,6</w:t>
            </w:r>
            <w:r/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Валовая прибыль (убытки) от продажи товаров и услуг по регулируемому виду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79 317,9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вырабатываемой электроэнергии в рамках осуществления регулируемой деятельности (млн. кВтч)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16,183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электроэнерги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и, отпускаемой потребителям (млн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кВтч)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основного производственного персонала (чел.)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административно-управленческого персонала (чел.)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расход дизельного топлива на единицу электроэнергии, отпускаемой потребителями по договорам (гут/кВтч)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993" w:right="850" w:bottom="426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44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636">
    <w:name w:val="Основной шрифт абзаца"/>
    <w:next w:val="636"/>
    <w:link w:val="634"/>
    <w:uiPriority w:val="1"/>
    <w:semiHidden/>
    <w:unhideWhenUsed/>
  </w:style>
  <w:style w:type="table" w:styleId="637">
    <w:name w:val="Обычная таблица"/>
    <w:next w:val="637"/>
    <w:link w:val="634"/>
    <w:uiPriority w:val="99"/>
    <w:semiHidden/>
    <w:unhideWhenUsed/>
    <w:tblPr/>
  </w:style>
  <w:style w:type="numbering" w:styleId="638">
    <w:name w:val="Нет списка"/>
    <w:next w:val="638"/>
    <w:link w:val="634"/>
    <w:uiPriority w:val="99"/>
    <w:semiHidden/>
    <w:unhideWhenUsed/>
  </w:style>
  <w:style w:type="table" w:styleId="639">
    <w:name w:val="Сетка таблицы"/>
    <w:basedOn w:val="637"/>
    <w:next w:val="639"/>
    <w:link w:val="634"/>
    <w:uiPriority w:val="59"/>
    <w:tblPr/>
  </w:style>
  <w:style w:type="paragraph" w:styleId="640">
    <w:name w:val="Текст выноски"/>
    <w:basedOn w:val="634"/>
    <w:next w:val="640"/>
    <w:link w:val="6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1">
    <w:name w:val="Текст выноски Знак"/>
    <w:next w:val="641"/>
    <w:link w:val="640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42">
    <w:name w:val="s_1"/>
    <w:basedOn w:val="634"/>
    <w:next w:val="642"/>
    <w:link w:val="634"/>
    <w:pPr>
      <w:ind w:firstLine="720"/>
      <w:jc w:val="both"/>
      <w:spacing w:after="0" w:line="240" w:lineRule="auto"/>
    </w:pPr>
    <w:rPr>
      <w:rFonts w:ascii="Arial" w:hAnsi="Arial" w:eastAsia="Times New Roman" w:cs="Arial"/>
      <w:sz w:val="26"/>
      <w:szCs w:val="26"/>
      <w:lang w:eastAsia="ru-RU"/>
    </w:rPr>
  </w:style>
  <w:style w:type="character" w:styleId="643">
    <w:name w:val="Гиперссылка"/>
    <w:next w:val="643"/>
    <w:link w:val="634"/>
    <w:uiPriority w:val="99"/>
    <w:unhideWhenUsed/>
    <w:rPr>
      <w:color w:val="0000ff"/>
      <w:u w:val="single"/>
    </w:rPr>
  </w:style>
  <w:style w:type="character" w:styleId="644">
    <w:name w:val="Заголовок 1 Знак"/>
    <w:next w:val="644"/>
    <w:link w:val="635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645">
    <w:name w:val="Нормальный (таблица)"/>
    <w:basedOn w:val="634"/>
    <w:next w:val="634"/>
    <w:link w:val="634"/>
    <w:uiPriority w:val="99"/>
    <w:pPr>
      <w:jc w:val="both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646">
    <w:name w:val="Прижатый влево"/>
    <w:basedOn w:val="634"/>
    <w:next w:val="634"/>
    <w:link w:val="634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647">
    <w:name w:val="Выделение"/>
    <w:next w:val="647"/>
    <w:link w:val="634"/>
    <w:uiPriority w:val="20"/>
    <w:qFormat/>
    <w:rPr>
      <w:i/>
      <w:iCs/>
    </w:rPr>
  </w:style>
  <w:style w:type="character" w:styleId="2735" w:default="1">
    <w:name w:val="Default Paragraph Font"/>
    <w:uiPriority w:val="1"/>
    <w:semiHidden/>
    <w:unhideWhenUsed/>
  </w:style>
  <w:style w:type="numbering" w:styleId="2736" w:default="1">
    <w:name w:val="No List"/>
    <w:uiPriority w:val="99"/>
    <w:semiHidden/>
    <w:unhideWhenUsed/>
  </w:style>
  <w:style w:type="table" w:styleId="27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Архэнерго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Северинова</dc:creator>
  <cp:revision>6</cp:revision>
  <dcterms:created xsi:type="dcterms:W3CDTF">2023-11-02T12:54:00Z</dcterms:created>
  <dcterms:modified xsi:type="dcterms:W3CDTF">2024-12-10T08:11:18Z</dcterms:modified>
  <cp:version>1048576</cp:version>
</cp:coreProperties>
</file>